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heme="minorBidi"/>
          <w:kern w:val="2"/>
          <w:sz w:val="21"/>
          <w:szCs w:val="24"/>
          <w:lang w:val="en-US" w:eastAsia="zh-CN" w:bidi="ar-SA"/>
        </w:rPr>
        <w:id w:val="147460912"/>
        <w15:color w:val="DBDBDB"/>
        <w:docPartObj>
          <w:docPartGallery w:val="Table of Contents"/>
          <w:docPartUnique/>
        </w:docPartObj>
      </w:sdtPr>
      <w:sdtEndPr>
        <w:rPr>
          <w:rFonts w:hint="eastAsia" w:eastAsia="微软雅黑" w:asciiTheme="minorAscii" w:hAnsiTheme="minorAscii" w:cstheme="minorBidi"/>
          <w:b/>
          <w:kern w:val="44"/>
          <w:sz w:val="36"/>
          <w:szCs w:val="24"/>
          <w:lang w:val="en-US" w:eastAsia="zh-CN" w:bidi="ar-SA"/>
        </w:rPr>
      </w:sdtEndPr>
      <w:sdtContent>
        <w:p w14:paraId="6CDF89F7">
          <w:pPr>
            <w:spacing w:before="0" w:beforeLines="0" w:after="0" w:afterLines="0" w:line="240" w:lineRule="auto"/>
            <w:ind w:left="0" w:leftChars="0" w:right="0" w:rightChars="0" w:firstLine="0" w:firstLineChars="0"/>
            <w:jc w:val="center"/>
          </w:pPr>
          <w:r>
            <w:rPr>
              <w:rFonts w:hint="default" w:ascii="Arial" w:hAnsi="Arial" w:eastAsia="微软雅黑" w:cs="Arial"/>
              <w:b w:val="0"/>
              <w:bCs w:val="0"/>
              <w:sz w:val="52"/>
              <w:szCs w:val="52"/>
            </w:rPr>
            <w:t>目录</w:t>
          </w:r>
        </w:p>
        <w:p w14:paraId="039E8381">
          <w:pPr>
            <w:pStyle w:val="7"/>
            <w:tabs>
              <w:tab w:val="right" w:leader="dot" w:pos="8306"/>
            </w:tabs>
            <w:rPr>
              <w:rFonts w:hint="eastAsia" w:ascii="仿宋" w:hAnsi="仿宋" w:eastAsia="仿宋" w:cs="仿宋"/>
              <w:b/>
              <w:bCs/>
              <w:sz w:val="28"/>
              <w:szCs w:val="28"/>
            </w:rPr>
          </w:pPr>
          <w:r>
            <w:rPr>
              <w:rFonts w:hint="eastAsia"/>
              <w:lang w:val="en-US" w:eastAsia="zh-CN"/>
            </w:rPr>
            <w:fldChar w:fldCharType="begin"/>
          </w:r>
          <w:r>
            <w:rPr>
              <w:rFonts w:hint="eastAsia"/>
              <w:lang w:val="en-US" w:eastAsia="zh-CN"/>
            </w:rPr>
            <w:instrText xml:space="preserve">TOC \o "1-1" \h \u </w:instrText>
          </w:r>
          <w:r>
            <w:rPr>
              <w:rFonts w:hint="eastAsia"/>
              <w:lang w:val="en-US" w:eastAsia="zh-CN"/>
            </w:rPr>
            <w:fldChar w:fldCharType="separate"/>
          </w:r>
          <w:r>
            <w:rPr>
              <w:rFonts w:hint="eastAsia" w:ascii="仿宋" w:hAnsi="仿宋" w:eastAsia="仿宋" w:cs="仿宋"/>
              <w:b/>
              <w:bCs/>
              <w:sz w:val="28"/>
              <w:szCs w:val="28"/>
              <w:lang w:val="en-US" w:eastAsia="zh-CN"/>
            </w:rPr>
            <w:fldChar w:fldCharType="begin"/>
          </w:r>
          <w:r>
            <w:rPr>
              <w:rFonts w:hint="eastAsia" w:ascii="仿宋" w:hAnsi="仿宋" w:eastAsia="仿宋" w:cs="仿宋"/>
              <w:b/>
              <w:bCs/>
              <w:sz w:val="28"/>
              <w:szCs w:val="28"/>
              <w:lang w:val="en-US" w:eastAsia="zh-CN"/>
            </w:rPr>
            <w:instrText xml:space="preserve"> HYPERLINK \l _Toc98 </w:instrText>
          </w:r>
          <w:r>
            <w:rPr>
              <w:rFonts w:hint="eastAsia" w:ascii="仿宋" w:hAnsi="仿宋" w:eastAsia="仿宋" w:cs="仿宋"/>
              <w:b/>
              <w:bCs/>
              <w:sz w:val="28"/>
              <w:szCs w:val="28"/>
              <w:lang w:val="en-US" w:eastAsia="zh-CN"/>
            </w:rPr>
            <w:fldChar w:fldCharType="separate"/>
          </w:r>
          <w:r>
            <w:rPr>
              <w:rFonts w:hint="eastAsia" w:ascii="仿宋" w:hAnsi="仿宋" w:eastAsia="仿宋" w:cs="仿宋"/>
              <w:b/>
              <w:bCs/>
              <w:sz w:val="28"/>
              <w:szCs w:val="28"/>
              <w:lang w:val="en-US" w:eastAsia="zh-CN"/>
            </w:rPr>
            <w:t>一、 注册、信息更新</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_Toc98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1</w:t>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fldChar w:fldCharType="end"/>
          </w:r>
        </w:p>
        <w:p w14:paraId="58849771">
          <w:pPr>
            <w:pStyle w:val="7"/>
            <w:tabs>
              <w:tab w:val="right" w:leader="dot" w:pos="8306"/>
            </w:tabs>
            <w:rPr>
              <w:rFonts w:hint="eastAsia" w:ascii="仿宋" w:hAnsi="仿宋" w:eastAsia="仿宋" w:cs="仿宋"/>
              <w:b/>
              <w:bCs/>
              <w:sz w:val="28"/>
              <w:szCs w:val="28"/>
            </w:rPr>
          </w:pPr>
          <w:r>
            <w:rPr>
              <w:rFonts w:hint="eastAsia" w:ascii="仿宋" w:hAnsi="仿宋" w:eastAsia="仿宋" w:cs="仿宋"/>
              <w:b/>
              <w:bCs/>
              <w:sz w:val="28"/>
              <w:szCs w:val="28"/>
              <w:lang w:val="en-US" w:eastAsia="zh-CN"/>
            </w:rPr>
            <w:fldChar w:fldCharType="begin"/>
          </w:r>
          <w:r>
            <w:rPr>
              <w:rFonts w:hint="eastAsia" w:ascii="仿宋" w:hAnsi="仿宋" w:eastAsia="仿宋" w:cs="仿宋"/>
              <w:b/>
              <w:bCs/>
              <w:sz w:val="28"/>
              <w:szCs w:val="28"/>
              <w:lang w:val="en-US" w:eastAsia="zh-CN"/>
            </w:rPr>
            <w:instrText xml:space="preserve"> HYPERLINK \l _Toc15876 </w:instrText>
          </w:r>
          <w:r>
            <w:rPr>
              <w:rFonts w:hint="eastAsia" w:ascii="仿宋" w:hAnsi="仿宋" w:eastAsia="仿宋" w:cs="仿宋"/>
              <w:b/>
              <w:bCs/>
              <w:sz w:val="28"/>
              <w:szCs w:val="28"/>
              <w:lang w:val="en-US" w:eastAsia="zh-CN"/>
            </w:rPr>
            <w:fldChar w:fldCharType="separate"/>
          </w:r>
          <w:r>
            <w:rPr>
              <w:rFonts w:hint="eastAsia" w:ascii="仿宋" w:hAnsi="仿宋" w:eastAsia="仿宋" w:cs="仿宋"/>
              <w:b/>
              <w:bCs/>
              <w:sz w:val="28"/>
              <w:szCs w:val="28"/>
              <w:lang w:val="en-US" w:eastAsia="zh-CN"/>
            </w:rPr>
            <w:t>二、 报名投标</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_Toc15876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4</w:t>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fldChar w:fldCharType="end"/>
          </w:r>
        </w:p>
        <w:p w14:paraId="40FB956C">
          <w:pPr>
            <w:pStyle w:val="7"/>
            <w:tabs>
              <w:tab w:val="right" w:leader="dot" w:pos="8306"/>
            </w:tabs>
            <w:rPr>
              <w:rFonts w:hint="eastAsia" w:ascii="仿宋" w:hAnsi="仿宋" w:eastAsia="仿宋" w:cs="仿宋"/>
              <w:b/>
              <w:bCs/>
              <w:sz w:val="28"/>
              <w:szCs w:val="28"/>
            </w:rPr>
          </w:pPr>
          <w:r>
            <w:rPr>
              <w:rFonts w:hint="eastAsia" w:ascii="仿宋" w:hAnsi="仿宋" w:eastAsia="仿宋" w:cs="仿宋"/>
              <w:b/>
              <w:bCs/>
              <w:sz w:val="28"/>
              <w:szCs w:val="28"/>
              <w:lang w:val="en-US" w:eastAsia="zh-CN"/>
            </w:rPr>
            <w:fldChar w:fldCharType="begin"/>
          </w:r>
          <w:r>
            <w:rPr>
              <w:rFonts w:hint="eastAsia" w:ascii="仿宋" w:hAnsi="仿宋" w:eastAsia="仿宋" w:cs="仿宋"/>
              <w:b/>
              <w:bCs/>
              <w:sz w:val="28"/>
              <w:szCs w:val="28"/>
              <w:lang w:val="en-US" w:eastAsia="zh-CN"/>
            </w:rPr>
            <w:instrText xml:space="preserve"> HYPERLINK \l _Toc3561 </w:instrText>
          </w:r>
          <w:r>
            <w:rPr>
              <w:rFonts w:hint="eastAsia" w:ascii="仿宋" w:hAnsi="仿宋" w:eastAsia="仿宋" w:cs="仿宋"/>
              <w:b/>
              <w:bCs/>
              <w:sz w:val="28"/>
              <w:szCs w:val="28"/>
              <w:lang w:val="en-US" w:eastAsia="zh-CN"/>
            </w:rPr>
            <w:fldChar w:fldCharType="separate"/>
          </w:r>
          <w:r>
            <w:rPr>
              <w:rFonts w:hint="eastAsia" w:ascii="仿宋" w:hAnsi="仿宋" w:eastAsia="仿宋" w:cs="仿宋"/>
              <w:b/>
              <w:bCs/>
              <w:sz w:val="28"/>
              <w:szCs w:val="28"/>
              <w:lang w:val="en-US" w:eastAsia="zh-CN"/>
            </w:rPr>
            <w:t>三、 缴费</w:t>
          </w:r>
          <w:r>
            <w:rPr>
              <w:rFonts w:hint="eastAsia" w:ascii="仿宋" w:hAnsi="仿宋" w:eastAsia="仿宋" w:cs="仿宋"/>
              <w:b/>
              <w:bCs/>
              <w:sz w:val="28"/>
              <w:szCs w:val="28"/>
            </w:rPr>
            <w:tab/>
          </w:r>
          <w:r>
            <w:rPr>
              <w:rFonts w:hint="eastAsia" w:ascii="仿宋" w:hAnsi="仿宋" w:eastAsia="仿宋" w:cs="仿宋"/>
              <w:b/>
              <w:bCs/>
              <w:sz w:val="28"/>
              <w:szCs w:val="28"/>
              <w:lang w:val="en-US" w:eastAsia="zh-CN"/>
            </w:rPr>
            <w:t>9</w:t>
          </w:r>
          <w:r>
            <w:rPr>
              <w:rFonts w:hint="eastAsia" w:ascii="仿宋" w:hAnsi="仿宋" w:eastAsia="仿宋" w:cs="仿宋"/>
              <w:b/>
              <w:bCs/>
              <w:sz w:val="28"/>
              <w:szCs w:val="28"/>
              <w:lang w:val="en-US" w:eastAsia="zh-CN"/>
            </w:rPr>
            <w:fldChar w:fldCharType="end"/>
          </w:r>
        </w:p>
        <w:p w14:paraId="7427D044">
          <w:pPr>
            <w:pStyle w:val="7"/>
            <w:tabs>
              <w:tab w:val="right" w:leader="dot" w:pos="8306"/>
            </w:tabs>
            <w:rPr>
              <w:rFonts w:hint="eastAsia" w:ascii="仿宋" w:hAnsi="仿宋" w:eastAsia="仿宋" w:cs="仿宋"/>
              <w:b/>
              <w:bCs/>
              <w:sz w:val="28"/>
              <w:szCs w:val="28"/>
            </w:rPr>
          </w:pPr>
          <w:r>
            <w:rPr>
              <w:rFonts w:hint="eastAsia" w:ascii="仿宋" w:hAnsi="仿宋" w:eastAsia="仿宋" w:cs="仿宋"/>
              <w:b/>
              <w:bCs/>
              <w:sz w:val="28"/>
              <w:szCs w:val="28"/>
              <w:lang w:val="en-US" w:eastAsia="zh-CN"/>
            </w:rPr>
            <w:fldChar w:fldCharType="begin"/>
          </w:r>
          <w:r>
            <w:rPr>
              <w:rFonts w:hint="eastAsia" w:ascii="仿宋" w:hAnsi="仿宋" w:eastAsia="仿宋" w:cs="仿宋"/>
              <w:b/>
              <w:bCs/>
              <w:sz w:val="28"/>
              <w:szCs w:val="28"/>
              <w:lang w:val="en-US" w:eastAsia="zh-CN"/>
            </w:rPr>
            <w:instrText xml:space="preserve"> HYPERLINK \l _Toc5198 </w:instrText>
          </w:r>
          <w:r>
            <w:rPr>
              <w:rFonts w:hint="eastAsia" w:ascii="仿宋" w:hAnsi="仿宋" w:eastAsia="仿宋" w:cs="仿宋"/>
              <w:b/>
              <w:bCs/>
              <w:sz w:val="28"/>
              <w:szCs w:val="28"/>
              <w:lang w:val="en-US" w:eastAsia="zh-CN"/>
            </w:rPr>
            <w:fldChar w:fldCharType="separate"/>
          </w:r>
          <w:r>
            <w:rPr>
              <w:rFonts w:hint="eastAsia" w:ascii="仿宋" w:hAnsi="仿宋" w:eastAsia="仿宋" w:cs="仿宋"/>
              <w:b/>
              <w:bCs/>
              <w:sz w:val="28"/>
              <w:szCs w:val="28"/>
              <w:lang w:val="en-US" w:eastAsia="zh-CN"/>
            </w:rPr>
            <w:t>四、 发票</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_Toc5198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11</w:t>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fldChar w:fldCharType="end"/>
          </w:r>
        </w:p>
        <w:p w14:paraId="4F56D5DA">
          <w:pPr>
            <w:pStyle w:val="7"/>
            <w:tabs>
              <w:tab w:val="right" w:leader="dot" w:pos="8306"/>
            </w:tabs>
          </w:pPr>
        </w:p>
        <w:p w14:paraId="289EBE2C">
          <w:pPr>
            <w:pStyle w:val="2"/>
            <w:keepNext/>
            <w:keepLines/>
            <w:pageBreakBefore w:val="0"/>
            <w:widowControl w:val="0"/>
            <w:numPr>
              <w:ilvl w:val="0"/>
              <w:numId w:val="0"/>
            </w:numPr>
            <w:kinsoku/>
            <w:wordWrap/>
            <w:overflowPunct/>
            <w:topLinePunct w:val="0"/>
            <w:autoSpaceDE/>
            <w:autoSpaceDN/>
            <w:bidi w:val="0"/>
            <w:adjustRightInd/>
            <w:snapToGrid/>
            <w:spacing w:before="313" w:beforeLines="100" w:after="313" w:afterLines="100" w:line="360" w:lineRule="auto"/>
            <w:textAlignment w:val="auto"/>
            <w:rPr>
              <w:rFonts w:hint="eastAsia" w:eastAsia="微软雅黑" w:asciiTheme="minorAscii" w:hAnsiTheme="minorAscii" w:cstheme="minorBidi"/>
              <w:b/>
              <w:kern w:val="44"/>
              <w:sz w:val="36"/>
              <w:szCs w:val="24"/>
              <w:lang w:val="en-US" w:eastAsia="zh-CN" w:bidi="ar-SA"/>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lang w:val="en-US" w:eastAsia="zh-CN"/>
            </w:rPr>
            <w:fldChar w:fldCharType="end"/>
          </w:r>
        </w:p>
      </w:sdtContent>
    </w:sdt>
    <w:p w14:paraId="671ECE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登录网址：https://zhucaicloud.srm.cnzgc.com/</w:t>
      </w:r>
    </w:p>
    <w:p w14:paraId="4AA3D3D9">
      <w:pPr>
        <w:pStyle w:val="2"/>
        <w:keepNext/>
        <w:keepLines/>
        <w:pageBreakBefore w:val="0"/>
        <w:widowControl w:val="0"/>
        <w:numPr>
          <w:ilvl w:val="0"/>
          <w:numId w:val="1"/>
        </w:numPr>
        <w:kinsoku/>
        <w:wordWrap/>
        <w:overflowPunct/>
        <w:topLinePunct w:val="0"/>
        <w:autoSpaceDE/>
        <w:autoSpaceDN/>
        <w:bidi w:val="0"/>
        <w:adjustRightInd/>
        <w:snapToGrid/>
        <w:spacing w:before="313" w:beforeLines="100" w:after="313" w:afterLines="100" w:line="360" w:lineRule="auto"/>
        <w:textAlignment w:val="auto"/>
        <w:rPr>
          <w:rFonts w:hint="eastAsia"/>
          <w:b/>
          <w:lang w:val="en-US" w:eastAsia="zh-CN"/>
        </w:rPr>
      </w:pPr>
      <w:bookmarkStart w:id="0" w:name="_Toc98"/>
      <w:r>
        <w:rPr>
          <w:rFonts w:hint="eastAsia"/>
          <w:b/>
          <w:lang w:val="en-US" w:eastAsia="zh-CN"/>
        </w:rPr>
        <w:t>注册、信息更新</w:t>
      </w:r>
      <w:bookmarkEnd w:id="0"/>
    </w:p>
    <w:p w14:paraId="62556C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1.1进入网址，点击注册。</w:t>
      </w:r>
    </w:p>
    <w:p w14:paraId="7D5C8B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仿宋" w:hAnsi="仿宋" w:eastAsia="仿宋" w:cs="仿宋"/>
          <w:b/>
          <w:bCs/>
          <w:sz w:val="28"/>
          <w:szCs w:val="28"/>
          <w:lang w:val="en-US" w:eastAsia="zh-CN"/>
        </w:rPr>
      </w:pPr>
      <w:r>
        <w:drawing>
          <wp:inline distT="0" distB="0" distL="114300" distR="114300">
            <wp:extent cx="5256530" cy="2593975"/>
            <wp:effectExtent l="9525" t="9525" r="10795" b="2540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5256530" cy="2593975"/>
                    </a:xfrm>
                    <a:prstGeom prst="rect">
                      <a:avLst/>
                    </a:prstGeom>
                    <a:noFill/>
                    <a:ln>
                      <a:solidFill>
                        <a:schemeClr val="bg2">
                          <a:lumMod val="90000"/>
                        </a:schemeClr>
                      </a:solidFill>
                    </a:ln>
                  </pic:spPr>
                </pic:pic>
              </a:graphicData>
            </a:graphic>
          </wp:inline>
        </w:drawing>
      </w:r>
    </w:p>
    <w:p w14:paraId="6421C6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1.2分供商注册应准备如下资料：</w:t>
      </w:r>
    </w:p>
    <w:p w14:paraId="37F04B8F">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textAlignment w:val="auto"/>
        <w:rPr>
          <w:rFonts w:ascii="仿宋" w:hAnsi="仿宋" w:eastAsia="仿宋" w:cs="仿宋"/>
          <w:spacing w:val="-6"/>
          <w:sz w:val="28"/>
          <w:szCs w:val="28"/>
        </w:rPr>
      </w:pPr>
      <w:r>
        <w:rPr>
          <w:rFonts w:ascii="仿宋" w:hAnsi="仿宋" w:eastAsia="仿宋" w:cs="仿宋"/>
          <w:b/>
          <w:bCs/>
          <w:sz w:val="28"/>
          <w:szCs w:val="28"/>
        </w:rPr>
        <w:t>①材料商：</w:t>
      </w:r>
      <w:r>
        <w:rPr>
          <w:rFonts w:ascii="仿宋" w:hAnsi="仿宋" w:eastAsia="仿宋" w:cs="仿宋"/>
          <w:sz w:val="28"/>
          <w:szCs w:val="28"/>
        </w:rPr>
        <w:t>企业营业执照（证件在有效期内）、开</w:t>
      </w:r>
      <w:r>
        <w:rPr>
          <w:rFonts w:ascii="仿宋" w:hAnsi="仿宋" w:eastAsia="仿宋" w:cs="仿宋"/>
          <w:spacing w:val="-1"/>
          <w:sz w:val="28"/>
          <w:szCs w:val="28"/>
        </w:rPr>
        <w:t>户许可证/基</w:t>
      </w:r>
      <w:r>
        <w:rPr>
          <w:rFonts w:ascii="仿宋" w:hAnsi="仿宋" w:eastAsia="仿宋" w:cs="仿宋"/>
          <w:spacing w:val="-3"/>
          <w:sz w:val="28"/>
          <w:szCs w:val="28"/>
        </w:rPr>
        <w:t>本存款账户信息（法定代表人与营业执照一致</w:t>
      </w:r>
      <w:r>
        <w:rPr>
          <w:rFonts w:ascii="仿宋" w:hAnsi="仿宋" w:eastAsia="仿宋" w:cs="仿宋"/>
          <w:spacing w:val="-15"/>
          <w:sz w:val="28"/>
          <w:szCs w:val="28"/>
        </w:rPr>
        <w:t>），</w:t>
      </w:r>
      <w:r>
        <w:rPr>
          <w:rFonts w:ascii="仿宋" w:hAnsi="仿宋" w:eastAsia="仿宋" w:cs="仿宋"/>
          <w:spacing w:val="-3"/>
          <w:sz w:val="28"/>
          <w:szCs w:val="28"/>
        </w:rPr>
        <w:t>须提供加盖供应商</w:t>
      </w:r>
      <w:r>
        <w:rPr>
          <w:rFonts w:ascii="仿宋" w:hAnsi="仿宋" w:eastAsia="仿宋" w:cs="仿宋"/>
          <w:spacing w:val="-4"/>
          <w:sz w:val="28"/>
          <w:szCs w:val="28"/>
        </w:rPr>
        <w:t>单位公章的复印件或扫描件；法定代表人或负责人身份证正反面复印</w:t>
      </w:r>
      <w:r>
        <w:rPr>
          <w:rFonts w:ascii="仿宋" w:hAnsi="仿宋" w:eastAsia="仿宋" w:cs="仿宋"/>
          <w:spacing w:val="-3"/>
          <w:sz w:val="28"/>
          <w:szCs w:val="28"/>
        </w:rPr>
        <w:t>件；纳税人证明文件（一般纳税人/小规模纳税人/其他</w:t>
      </w:r>
      <w:r>
        <w:rPr>
          <w:rFonts w:ascii="仿宋" w:hAnsi="仿宋" w:eastAsia="仿宋" w:cs="仿宋"/>
          <w:spacing w:val="-13"/>
          <w:sz w:val="28"/>
          <w:szCs w:val="28"/>
        </w:rPr>
        <w:t>）；</w:t>
      </w:r>
      <w:r>
        <w:rPr>
          <w:rFonts w:ascii="仿宋" w:hAnsi="仿宋" w:eastAsia="仿宋" w:cs="仿宋"/>
          <w:spacing w:val="-3"/>
          <w:sz w:val="28"/>
          <w:szCs w:val="28"/>
        </w:rPr>
        <w:t>其他证明</w:t>
      </w:r>
      <w:r>
        <w:rPr>
          <w:rFonts w:ascii="仿宋" w:hAnsi="仿宋" w:eastAsia="仿宋" w:cs="仿宋"/>
          <w:spacing w:val="-6"/>
          <w:sz w:val="28"/>
          <w:szCs w:val="28"/>
        </w:rPr>
        <w:t>文件。</w:t>
      </w:r>
    </w:p>
    <w:p w14:paraId="09445350">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textAlignment w:val="auto"/>
        <w:rPr>
          <w:rFonts w:ascii="仿宋" w:hAnsi="仿宋" w:eastAsia="仿宋" w:cs="仿宋"/>
          <w:sz w:val="28"/>
          <w:szCs w:val="28"/>
        </w:rPr>
      </w:pPr>
      <w:r>
        <w:rPr>
          <w:rFonts w:ascii="仿宋" w:hAnsi="仿宋" w:eastAsia="仿宋" w:cs="仿宋"/>
          <w:b/>
          <w:bCs/>
          <w:sz w:val="28"/>
          <w:szCs w:val="28"/>
        </w:rPr>
        <w:t>②大型机械设备租赁（安拆）供应商：</w:t>
      </w:r>
      <w:r>
        <w:rPr>
          <w:rFonts w:ascii="仿宋" w:hAnsi="仿宋" w:eastAsia="仿宋" w:cs="仿宋"/>
          <w:sz w:val="28"/>
          <w:szCs w:val="28"/>
        </w:rPr>
        <w:t>企业营业执照（证件在有效期内）、开户许可证/基本存款账户信息（法定代表人与营业执照一致），须提供加盖供应商单位公章的复印件或扫描件；供应商法定代表人或负责人身份证复印件；纳税人证明文件（一般纳税人/小规模纳税人/其他）；安拆单位提供加盖公章的资质证书及安全生产许可证复印件或扫描件；其他证明文件。</w:t>
      </w:r>
    </w:p>
    <w:p w14:paraId="398CE4AF">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textAlignment w:val="auto"/>
        <w:rPr>
          <w:rFonts w:ascii="仿宋" w:hAnsi="仿宋" w:eastAsia="仿宋" w:cs="仿宋"/>
          <w:sz w:val="28"/>
          <w:szCs w:val="28"/>
        </w:rPr>
      </w:pPr>
      <w:r>
        <w:rPr>
          <w:rFonts w:ascii="仿宋" w:hAnsi="仿宋" w:eastAsia="仿宋" w:cs="仿宋"/>
          <w:b/>
          <w:bCs/>
          <w:sz w:val="28"/>
          <w:szCs w:val="28"/>
        </w:rPr>
        <w:t>③分包商：</w:t>
      </w:r>
      <w:r>
        <w:rPr>
          <w:rFonts w:ascii="仿宋" w:hAnsi="仿宋" w:eastAsia="仿宋" w:cs="仿宋"/>
          <w:sz w:val="28"/>
          <w:szCs w:val="28"/>
        </w:rPr>
        <w:t>包括企业营业执照、安全生产许可证（如有）、资质证书（证件在有效期内）、开户许可证/基本存款账户信息（法定代表人与营业执照一致），须提供加盖分包商单位公章的复印件或扫描件；分包商法定代表人或负责人身份证复印件；纳税人证明文件（一般纳税人/小规模纳税人/其他）；其他证明文件。</w:t>
      </w:r>
    </w:p>
    <w:p w14:paraId="26066183">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textAlignment w:val="auto"/>
        <w:rPr>
          <w:rFonts w:ascii="仿宋" w:hAnsi="仿宋" w:eastAsia="仿宋" w:cs="仿宋"/>
          <w:sz w:val="28"/>
          <w:szCs w:val="28"/>
        </w:rPr>
      </w:pPr>
      <w:r>
        <w:rPr>
          <w:rFonts w:ascii="仿宋" w:hAnsi="仿宋" w:eastAsia="仿宋" w:cs="仿宋"/>
          <w:b/>
          <w:bCs/>
          <w:sz w:val="28"/>
          <w:szCs w:val="28"/>
        </w:rPr>
        <w:t>④劳务班组：</w:t>
      </w:r>
      <w:r>
        <w:rPr>
          <w:rFonts w:ascii="仿宋" w:hAnsi="仿宋" w:eastAsia="仿宋" w:cs="仿宋"/>
          <w:sz w:val="28"/>
          <w:szCs w:val="28"/>
        </w:rPr>
        <w:t>班组长身份证正反面扫描件、近 3 年施工业绩、近3 年获得的相关荣誉、其他证明文件。</w:t>
      </w:r>
    </w:p>
    <w:p w14:paraId="648C22E7">
      <w:pPr>
        <w:keepNext w:val="0"/>
        <w:keepLines w:val="0"/>
        <w:pageBreakBefore w:val="0"/>
        <w:widowControl w:val="0"/>
        <w:kinsoku/>
        <w:wordWrap/>
        <w:overflowPunct/>
        <w:topLinePunct w:val="0"/>
        <w:autoSpaceDE/>
        <w:autoSpaceDN/>
        <w:bidi w:val="0"/>
        <w:adjustRightInd/>
        <w:snapToGrid/>
        <w:spacing w:line="360" w:lineRule="auto"/>
        <w:ind w:left="0" w:right="0" w:firstLine="562" w:firstLineChars="200"/>
        <w:textAlignment w:val="auto"/>
        <w:rPr>
          <w:rFonts w:hint="eastAsia" w:ascii="仿宋" w:hAnsi="仿宋" w:eastAsia="仿宋" w:cs="仿宋"/>
          <w:b/>
          <w:bCs/>
          <w:sz w:val="28"/>
          <w:szCs w:val="28"/>
          <w:lang w:val="en-US" w:eastAsia="zh-CN"/>
        </w:rPr>
      </w:pPr>
      <w:r>
        <w:rPr>
          <w:rFonts w:ascii="仿宋" w:hAnsi="仿宋" w:eastAsia="仿宋" w:cs="仿宋"/>
          <w:b/>
          <w:bCs/>
          <w:sz w:val="28"/>
          <w:szCs w:val="28"/>
        </w:rPr>
        <w:t>⑤事业单位：</w:t>
      </w:r>
      <w:r>
        <w:rPr>
          <w:rFonts w:ascii="仿宋" w:hAnsi="仿宋" w:eastAsia="仿宋" w:cs="仿宋"/>
          <w:sz w:val="28"/>
          <w:szCs w:val="28"/>
        </w:rPr>
        <w:t>《事业单位法人证书》。</w:t>
      </w:r>
    </w:p>
    <w:p w14:paraId="64F6E3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1.3点击注册，填写带*相关信息，阅读并勾选用户协议，点击同意协议并注册。注册完成后登录账号密码绑定公司，账号为手机号码。</w:t>
      </w:r>
    </w:p>
    <w:p w14:paraId="46877D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仿宋" w:hAnsi="仿宋" w:eastAsia="仿宋" w:cs="仿宋"/>
          <w:b/>
          <w:bCs/>
          <w:sz w:val="28"/>
          <w:szCs w:val="28"/>
          <w:lang w:val="en-US" w:eastAsia="zh-CN"/>
        </w:rPr>
      </w:pPr>
      <w:r>
        <w:drawing>
          <wp:inline distT="0" distB="0" distL="114300" distR="114300">
            <wp:extent cx="3491230" cy="2047875"/>
            <wp:effectExtent l="0" t="0" r="13970" b="9525"/>
            <wp:docPr id="6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4"/>
                    <pic:cNvPicPr>
                      <a:picLocks noChangeAspect="1"/>
                    </pic:cNvPicPr>
                  </pic:nvPicPr>
                  <pic:blipFill>
                    <a:blip r:embed="rId7"/>
                    <a:srcRect l="9186" t="1778" r="13279" b="5162"/>
                    <a:stretch>
                      <a:fillRect/>
                    </a:stretch>
                  </pic:blipFill>
                  <pic:spPr>
                    <a:xfrm>
                      <a:off x="0" y="0"/>
                      <a:ext cx="3491230" cy="2047875"/>
                    </a:xfrm>
                    <a:prstGeom prst="rect">
                      <a:avLst/>
                    </a:prstGeom>
                    <a:noFill/>
                    <a:ln>
                      <a:noFill/>
                    </a:ln>
                  </pic:spPr>
                </pic:pic>
              </a:graphicData>
            </a:graphic>
          </wp:inline>
        </w:drawing>
      </w:r>
    </w:p>
    <w:p w14:paraId="35CA25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1.4注册填报信息注意点：</w:t>
      </w:r>
    </w:p>
    <w:p w14:paraId="4FE4C7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default" w:ascii="仿宋" w:hAnsi="仿宋" w:eastAsia="仿宋" w:cs="仿宋"/>
          <w:b/>
          <w:bCs/>
          <w:sz w:val="28"/>
          <w:szCs w:val="28"/>
          <w:lang w:val="en-US" w:eastAsia="zh-CN"/>
        </w:rPr>
      </w:pPr>
      <w:r>
        <w:rPr>
          <w:rFonts w:hint="eastAsia" w:ascii="仿宋" w:hAnsi="仿宋" w:eastAsia="仿宋" w:cs="仿宋"/>
          <w:sz w:val="28"/>
          <w:szCs w:val="28"/>
          <w:lang w:val="en-US" w:eastAsia="zh-CN"/>
        </w:rPr>
        <w:t>注册过程中，您需要填写界面基本信息并且上传2.2提及的相关资料，带*的必须填写。不带*尽量填写完整，以便平台采购单位对贵司深入了解。另外：</w:t>
      </w:r>
    </w:p>
    <w:p w14:paraId="24395B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①供应商分类、资质等级、资质证书编号、安全生产许可证号等需与贵司的证书保持一致。</w:t>
      </w:r>
    </w:p>
    <w:p w14:paraId="443B35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②合作单位选择【筑采云招采平台】，准入单位选择拟合作的单位，且涉及到后续的初评审批</w:t>
      </w:r>
    </w:p>
    <w:p w14:paraId="56E9B6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③先滑到页面下方选择好合作单位后，再选择准入单位</w:t>
      </w:r>
    </w:p>
    <w:p w14:paraId="4670BF1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r>
        <w:drawing>
          <wp:inline distT="0" distB="0" distL="114300" distR="114300">
            <wp:extent cx="5263515" cy="2557145"/>
            <wp:effectExtent l="0" t="0" r="13335" b="1460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8"/>
                    <a:stretch>
                      <a:fillRect/>
                    </a:stretch>
                  </pic:blipFill>
                  <pic:spPr>
                    <a:xfrm>
                      <a:off x="0" y="0"/>
                      <a:ext cx="5263515" cy="2557145"/>
                    </a:xfrm>
                    <a:prstGeom prst="rect">
                      <a:avLst/>
                    </a:prstGeom>
                    <a:noFill/>
                    <a:ln>
                      <a:noFill/>
                    </a:ln>
                  </pic:spPr>
                </pic:pic>
              </a:graphicData>
            </a:graphic>
          </wp:inline>
        </w:drawing>
      </w:r>
    </w:p>
    <w:p w14:paraId="2F6839A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p>
    <w:p w14:paraId="2A9F7C2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eastAsiaTheme="minorEastAsia"/>
          <w:lang w:val="en-US" w:eastAsia="zh-CN"/>
        </w:rPr>
      </w:pPr>
      <w:r>
        <w:drawing>
          <wp:inline distT="0" distB="0" distL="114300" distR="114300">
            <wp:extent cx="5259070" cy="2566035"/>
            <wp:effectExtent l="0" t="0" r="17780" b="571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9"/>
                    <a:stretch>
                      <a:fillRect/>
                    </a:stretch>
                  </pic:blipFill>
                  <pic:spPr>
                    <a:xfrm>
                      <a:off x="0" y="0"/>
                      <a:ext cx="5259070" cy="2566035"/>
                    </a:xfrm>
                    <a:prstGeom prst="rect">
                      <a:avLst/>
                    </a:prstGeom>
                    <a:noFill/>
                    <a:ln>
                      <a:noFill/>
                    </a:ln>
                  </pic:spPr>
                </pic:pic>
              </a:graphicData>
            </a:graphic>
          </wp:inline>
        </w:drawing>
      </w:r>
    </w:p>
    <w:p w14:paraId="148F15B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eastAsiaTheme="minorEastAsia"/>
          <w:lang w:val="en-US" w:eastAsia="zh-CN"/>
        </w:rPr>
      </w:pPr>
    </w:p>
    <w:p w14:paraId="2674C6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1.5企业信息修改更新。</w:t>
      </w:r>
    </w:p>
    <w:p w14:paraId="3B1219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修改路径：登录平台→企业中心→企业信息→修改信息。补充更新资料后，点击保存或提交。</w:t>
      </w:r>
    </w:p>
    <w:p w14:paraId="6D5E830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drawing>
          <wp:inline distT="0" distB="0" distL="114300" distR="114300">
            <wp:extent cx="5266690" cy="2040255"/>
            <wp:effectExtent l="0" t="0" r="0" b="0"/>
            <wp:docPr id="3" name="图片 3" descr="2.4信息修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4信息修改"/>
                    <pic:cNvPicPr>
                      <a:picLocks noChangeAspect="1"/>
                    </pic:cNvPicPr>
                  </pic:nvPicPr>
                  <pic:blipFill>
                    <a:blip r:embed="rId10"/>
                    <a:srcRect b="19514"/>
                    <a:stretch>
                      <a:fillRect/>
                    </a:stretch>
                  </pic:blipFill>
                  <pic:spPr>
                    <a:xfrm>
                      <a:off x="0" y="0"/>
                      <a:ext cx="5266690" cy="2040255"/>
                    </a:xfrm>
                    <a:prstGeom prst="rect">
                      <a:avLst/>
                    </a:prstGeom>
                  </pic:spPr>
                </pic:pic>
              </a:graphicData>
            </a:graphic>
          </wp:inline>
        </w:drawing>
      </w:r>
    </w:p>
    <w:p w14:paraId="7B6BE7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1.6信息审核规则</w:t>
      </w:r>
    </w:p>
    <w:p w14:paraId="345E1A7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提交后等待采购方审核，审核通过才可参与招投标；</w:t>
      </w:r>
    </w:p>
    <w:p w14:paraId="7A535C5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审核未通过：页面展示驳回原因，修改后重新提交；</w:t>
      </w:r>
    </w:p>
    <w:p w14:paraId="5C64E18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textAlignment w:val="auto"/>
        <w:rPr>
          <w:rFonts w:hint="eastAsia" w:ascii="仿宋" w:hAnsi="仿宋" w:eastAsia="仿宋" w:cs="仿宋"/>
          <w:b/>
          <w:bCs/>
          <w:sz w:val="28"/>
          <w:szCs w:val="28"/>
          <w:lang w:val="en-US" w:eastAsia="zh-CN"/>
        </w:rPr>
      </w:pPr>
      <w:r>
        <w:rPr>
          <w:rFonts w:hint="eastAsia" w:ascii="仿宋" w:hAnsi="仿宋" w:eastAsia="仿宋" w:cs="仿宋"/>
          <w:b w:val="0"/>
          <w:bCs w:val="0"/>
          <w:sz w:val="28"/>
          <w:szCs w:val="28"/>
          <w:lang w:val="en-US" w:eastAsia="zh-CN"/>
        </w:rPr>
        <w:t>审核中可主动撤回申请，调整资料再次提交。</w:t>
      </w:r>
    </w:p>
    <w:p w14:paraId="150671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1.7企业业绩信息完善。路径：企业中心-企业业绩-新增，填写并上传企业过往项目业绩材料。</w:t>
      </w:r>
    </w:p>
    <w:p w14:paraId="303EAB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drawing>
          <wp:inline distT="0" distB="0" distL="114300" distR="114300">
            <wp:extent cx="5261610" cy="2098675"/>
            <wp:effectExtent l="0" t="0" r="15240" b="15875"/>
            <wp:docPr id="6" name="图片 6" descr="2.7企业业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7企业业绩"/>
                    <pic:cNvPicPr>
                      <a:picLocks noChangeAspect="1"/>
                    </pic:cNvPicPr>
                  </pic:nvPicPr>
                  <pic:blipFill>
                    <a:blip r:embed="rId11"/>
                    <a:stretch>
                      <a:fillRect/>
                    </a:stretch>
                  </pic:blipFill>
                  <pic:spPr>
                    <a:xfrm>
                      <a:off x="0" y="0"/>
                      <a:ext cx="5261610" cy="2098675"/>
                    </a:xfrm>
                    <a:prstGeom prst="rect">
                      <a:avLst/>
                    </a:prstGeom>
                  </pic:spPr>
                </pic:pic>
              </a:graphicData>
            </a:graphic>
          </wp:inline>
        </w:drawing>
      </w:r>
    </w:p>
    <w:p w14:paraId="2536C79C">
      <w:pPr>
        <w:pStyle w:val="2"/>
        <w:keepNext/>
        <w:keepLines/>
        <w:pageBreakBefore w:val="0"/>
        <w:widowControl w:val="0"/>
        <w:numPr>
          <w:ilvl w:val="0"/>
          <w:numId w:val="1"/>
        </w:numPr>
        <w:kinsoku/>
        <w:wordWrap/>
        <w:overflowPunct/>
        <w:topLinePunct w:val="0"/>
        <w:autoSpaceDE/>
        <w:autoSpaceDN/>
        <w:bidi w:val="0"/>
        <w:adjustRightInd/>
        <w:snapToGrid/>
        <w:spacing w:before="313" w:beforeLines="100" w:after="313" w:afterLines="100" w:line="360" w:lineRule="auto"/>
        <w:textAlignment w:val="auto"/>
        <w:rPr>
          <w:rFonts w:hint="eastAsia"/>
          <w:b/>
          <w:lang w:val="en-US" w:eastAsia="zh-CN"/>
        </w:rPr>
      </w:pPr>
      <w:bookmarkStart w:id="1" w:name="_Toc15876"/>
      <w:r>
        <w:rPr>
          <w:rFonts w:hint="eastAsia"/>
          <w:b/>
          <w:lang w:val="en-US" w:eastAsia="zh-CN"/>
        </w:rPr>
        <w:t>报名投标</w:t>
      </w:r>
      <w:bookmarkEnd w:id="1"/>
    </w:p>
    <w:p w14:paraId="77AC24B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2.1平台登录：</w:t>
      </w:r>
      <w:r>
        <w:rPr>
          <w:rFonts w:hint="eastAsia" w:ascii="仿宋" w:hAnsi="仿宋" w:eastAsia="仿宋" w:cs="仿宋"/>
          <w:b w:val="0"/>
          <w:bCs w:val="0"/>
          <w:sz w:val="28"/>
          <w:szCs w:val="28"/>
          <w:lang w:val="en-US" w:eastAsia="zh-CN"/>
        </w:rPr>
        <w:t>官网首页点击登录。</w:t>
      </w:r>
    </w:p>
    <w:p w14:paraId="333E003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2.2工作台核心功能：待投标、待缴费、中标结果待签收、招标公告、在线投标、竞价大厅、e 保函、开票申请、会员续费、入库管理、信息维护等。</w:t>
      </w:r>
    </w:p>
    <w:p w14:paraId="19AEFE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pPr>
      <w:r>
        <w:drawing>
          <wp:inline distT="0" distB="0" distL="114300" distR="114300">
            <wp:extent cx="5270500" cy="3135630"/>
            <wp:effectExtent l="9525" t="9525" r="15875" b="1714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2"/>
                    <a:stretch>
                      <a:fillRect/>
                    </a:stretch>
                  </pic:blipFill>
                  <pic:spPr>
                    <a:xfrm>
                      <a:off x="0" y="0"/>
                      <a:ext cx="5270500" cy="3135630"/>
                    </a:xfrm>
                    <a:prstGeom prst="rect">
                      <a:avLst/>
                    </a:prstGeom>
                    <a:noFill/>
                    <a:ln>
                      <a:solidFill>
                        <a:schemeClr val="bg2">
                          <a:lumMod val="90000"/>
                        </a:schemeClr>
                      </a:solidFill>
                    </a:ln>
                  </pic:spPr>
                </pic:pic>
              </a:graphicData>
            </a:graphic>
          </wp:inline>
        </w:drawing>
      </w:r>
    </w:p>
    <w:p w14:paraId="340E986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lang w:val="en-US" w:eastAsia="zh-CN"/>
        </w:rPr>
      </w:pPr>
    </w:p>
    <w:p w14:paraId="50F89EA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drawing>
          <wp:inline distT="0" distB="0" distL="114300" distR="114300">
            <wp:extent cx="5266690" cy="2562225"/>
            <wp:effectExtent l="0" t="0" r="10160" b="9525"/>
            <wp:docPr id="7" name="图片 7" descr="3.2供应商首页页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2供应商首页页面"/>
                    <pic:cNvPicPr>
                      <a:picLocks noChangeAspect="1"/>
                    </pic:cNvPicPr>
                  </pic:nvPicPr>
                  <pic:blipFill>
                    <a:blip r:embed="rId13"/>
                    <a:stretch>
                      <a:fillRect/>
                    </a:stretch>
                  </pic:blipFill>
                  <pic:spPr>
                    <a:xfrm>
                      <a:off x="0" y="0"/>
                      <a:ext cx="5266690" cy="2562225"/>
                    </a:xfrm>
                    <a:prstGeom prst="rect">
                      <a:avLst/>
                    </a:prstGeom>
                  </pic:spPr>
                </pic:pic>
              </a:graphicData>
            </a:graphic>
          </wp:inline>
        </w:drawing>
      </w:r>
    </w:p>
    <w:p w14:paraId="1BEEA2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p>
    <w:p w14:paraId="6C6CA6E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2.3不同采购项目报名方式</w:t>
      </w:r>
    </w:p>
    <w:p w14:paraId="1A1577F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公开招标/公开询价采购/公开竞价；</w:t>
      </w:r>
    </w:p>
    <w:p w14:paraId="530565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①工作台→招标公告，或点击投标→在线报名，筛选项目；</w:t>
      </w:r>
    </w:p>
    <w:p w14:paraId="60F889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②点击项目名称，进入报名页面查看公告，点击【报名】；</w:t>
      </w:r>
    </w:p>
    <w:p w14:paraId="6945BAD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drawing>
          <wp:inline distT="0" distB="0" distL="114300" distR="114300">
            <wp:extent cx="5264150" cy="2301240"/>
            <wp:effectExtent l="0" t="0" r="0" b="0"/>
            <wp:docPr id="8" name="图片 8" descr="3.4公开类招标报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4公开类招标报名"/>
                    <pic:cNvPicPr>
                      <a:picLocks noChangeAspect="1"/>
                    </pic:cNvPicPr>
                  </pic:nvPicPr>
                  <pic:blipFill>
                    <a:blip r:embed="rId14"/>
                    <a:srcRect b="8807"/>
                    <a:stretch>
                      <a:fillRect/>
                    </a:stretch>
                  </pic:blipFill>
                  <pic:spPr>
                    <a:xfrm>
                      <a:off x="0" y="0"/>
                      <a:ext cx="5264150" cy="2301240"/>
                    </a:xfrm>
                    <a:prstGeom prst="rect">
                      <a:avLst/>
                    </a:prstGeom>
                  </pic:spPr>
                </pic:pic>
              </a:graphicData>
            </a:graphic>
          </wp:inline>
        </w:drawing>
      </w:r>
    </w:p>
    <w:p w14:paraId="071F30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③公开竞价项目需额外勾选《竞价承诺书》方可报名成功。</w:t>
      </w:r>
    </w:p>
    <w:p w14:paraId="1686579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drawing>
          <wp:inline distT="0" distB="0" distL="114300" distR="114300">
            <wp:extent cx="2936240" cy="1438275"/>
            <wp:effectExtent l="0" t="0" r="0" b="0"/>
            <wp:docPr id="9" name="图片 9" descr="3.3公开竞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3公开竞价"/>
                    <pic:cNvPicPr>
                      <a:picLocks noChangeAspect="1"/>
                    </pic:cNvPicPr>
                  </pic:nvPicPr>
                  <pic:blipFill>
                    <a:blip r:embed="rId15"/>
                    <a:srcRect b="3246"/>
                    <a:stretch>
                      <a:fillRect/>
                    </a:stretch>
                  </pic:blipFill>
                  <pic:spPr>
                    <a:xfrm>
                      <a:off x="0" y="0"/>
                      <a:ext cx="2936240" cy="1438275"/>
                    </a:xfrm>
                    <a:prstGeom prst="rect">
                      <a:avLst/>
                    </a:prstGeom>
                  </pic:spPr>
                </pic:pic>
              </a:graphicData>
            </a:graphic>
          </wp:inline>
        </w:drawing>
      </w:r>
    </w:p>
    <w:p w14:paraId="33845EF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jc w:val="both"/>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邀请招标；</w:t>
      </w:r>
    </w:p>
    <w:p w14:paraId="218A12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点击投标→邀请函应答，查看平台推送的招标邀请并应答。</w:t>
      </w:r>
    </w:p>
    <w:p w14:paraId="18F8D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drawing>
          <wp:inline distT="0" distB="0" distL="114300" distR="114300">
            <wp:extent cx="5267325" cy="2205990"/>
            <wp:effectExtent l="0" t="0" r="0" b="0"/>
            <wp:docPr id="10" name="图片 10" descr="3.3邀请招标应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3邀请招标应答"/>
                    <pic:cNvPicPr>
                      <a:picLocks noChangeAspect="1"/>
                    </pic:cNvPicPr>
                  </pic:nvPicPr>
                  <pic:blipFill>
                    <a:blip r:embed="rId16"/>
                    <a:srcRect b="11060"/>
                    <a:stretch>
                      <a:fillRect/>
                    </a:stretch>
                  </pic:blipFill>
                  <pic:spPr>
                    <a:xfrm>
                      <a:off x="0" y="0"/>
                      <a:ext cx="5267325" cy="2205990"/>
                    </a:xfrm>
                    <a:prstGeom prst="rect">
                      <a:avLst/>
                    </a:prstGeom>
                  </pic:spPr>
                </pic:pic>
              </a:graphicData>
            </a:graphic>
          </wp:inline>
        </w:drawing>
      </w:r>
    </w:p>
    <w:p w14:paraId="786813F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询价采购/单一来源。</w:t>
      </w:r>
    </w:p>
    <w:p w14:paraId="48DDFB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无需手动报名，投标截止前直接进入项目页面报价投标。</w:t>
      </w:r>
    </w:p>
    <w:p w14:paraId="71E243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2.4线上报价投标</w:t>
      </w:r>
    </w:p>
    <w:p w14:paraId="7DD6F9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报名成功后，点击投标→在线投标→点击项目名称→签收文件→去投标；</w:t>
      </w:r>
    </w:p>
    <w:p w14:paraId="0751E96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28"/>
          <w:szCs w:val="28"/>
          <w:lang w:val="en-US" w:eastAsia="zh-CN"/>
        </w:rPr>
      </w:pPr>
      <w:r>
        <w:drawing>
          <wp:inline distT="0" distB="0" distL="114300" distR="114300">
            <wp:extent cx="5263515" cy="1481455"/>
            <wp:effectExtent l="0" t="0" r="0" b="0"/>
            <wp:docPr id="6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5"/>
                    <pic:cNvPicPr>
                      <a:picLocks noChangeAspect="1"/>
                    </pic:cNvPicPr>
                  </pic:nvPicPr>
                  <pic:blipFill>
                    <a:blip r:embed="rId17"/>
                    <a:srcRect b="10613"/>
                    <a:stretch>
                      <a:fillRect/>
                    </a:stretch>
                  </pic:blipFill>
                  <pic:spPr>
                    <a:xfrm>
                      <a:off x="0" y="0"/>
                      <a:ext cx="5263515" cy="1481455"/>
                    </a:xfrm>
                    <a:prstGeom prst="rect">
                      <a:avLst/>
                    </a:prstGeom>
                    <a:noFill/>
                    <a:ln>
                      <a:noFill/>
                    </a:ln>
                  </pic:spPr>
                </pic:pic>
              </a:graphicData>
            </a:graphic>
          </wp:inline>
        </w:drawing>
      </w:r>
    </w:p>
    <w:p w14:paraId="2A2B08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按招标文件要求，上传盖章商务、技术、报价文件；完整填写物料清单报价等数据；</w:t>
      </w:r>
    </w:p>
    <w:p w14:paraId="570F6AA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drawing>
          <wp:inline distT="0" distB="0" distL="114300" distR="114300">
            <wp:extent cx="5256530" cy="2256790"/>
            <wp:effectExtent l="0" t="0" r="1270" b="10160"/>
            <wp:docPr id="19" name="图片 19" descr="3.4投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3.4投标"/>
                    <pic:cNvPicPr>
                      <a:picLocks noChangeAspect="1"/>
                    </pic:cNvPicPr>
                  </pic:nvPicPr>
                  <pic:blipFill>
                    <a:blip r:embed="rId18"/>
                    <a:stretch>
                      <a:fillRect/>
                    </a:stretch>
                  </pic:blipFill>
                  <pic:spPr>
                    <a:xfrm>
                      <a:off x="0" y="0"/>
                      <a:ext cx="5256530" cy="2256790"/>
                    </a:xfrm>
                    <a:prstGeom prst="rect">
                      <a:avLst/>
                    </a:prstGeom>
                  </pic:spPr>
                </pic:pic>
              </a:graphicData>
            </a:graphic>
          </wp:inline>
        </w:drawing>
      </w:r>
    </w:p>
    <w:p w14:paraId="496B9B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val="0"/>
          <w:bCs w:val="0"/>
          <w:sz w:val="28"/>
          <w:szCs w:val="28"/>
          <w:lang w:val="en-US" w:eastAsia="zh-CN"/>
        </w:rPr>
        <w:t>核对无误提交；截止前可撤销报价，重新修改提交。</w:t>
      </w:r>
    </w:p>
    <w:p w14:paraId="3CD9D7D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2.5 MAC机器码校验</w:t>
      </w:r>
    </w:p>
    <w:p w14:paraId="54FF48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所有投标操作必须完成设备核验，建议使用独立专用电脑，避免多账号共用设备报错。</w:t>
      </w:r>
    </w:p>
    <w:p w14:paraId="2D7AE7A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0"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投标页上传附件时自动弹出工具下载窗口，请根据电脑系统版本选择下载；</w:t>
      </w:r>
    </w:p>
    <w:p w14:paraId="114F98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drawing>
          <wp:inline distT="0" distB="0" distL="114300" distR="114300">
            <wp:extent cx="5266690" cy="2079625"/>
            <wp:effectExtent l="0" t="0" r="0" b="0"/>
            <wp:docPr id="11" name="图片 1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
                    <pic:cNvPicPr>
                      <a:picLocks noChangeAspect="1"/>
                    </pic:cNvPicPr>
                  </pic:nvPicPr>
                  <pic:blipFill>
                    <a:blip r:embed="rId19"/>
                    <a:srcRect b="20452"/>
                    <a:stretch>
                      <a:fillRect/>
                    </a:stretch>
                  </pic:blipFill>
                  <pic:spPr>
                    <a:xfrm>
                      <a:off x="0" y="0"/>
                      <a:ext cx="5266690" cy="2079625"/>
                    </a:xfrm>
                    <a:prstGeom prst="rect">
                      <a:avLst/>
                    </a:prstGeom>
                  </pic:spPr>
                </pic:pic>
              </a:graphicData>
            </a:graphic>
          </wp:inline>
        </w:drawing>
      </w:r>
    </w:p>
    <w:p w14:paraId="175C4BEA">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0"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运行机器码工具，点击开始授权获取设备MAC机器码，投标全程保持网页不关闭授权页面；</w:t>
      </w:r>
    </w:p>
    <w:p w14:paraId="2B608E2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drawing>
          <wp:inline distT="0" distB="0" distL="114300" distR="114300">
            <wp:extent cx="5264150" cy="2528570"/>
            <wp:effectExtent l="0" t="0" r="0" b="0"/>
            <wp:docPr id="12" name="图片 1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
                    <pic:cNvPicPr>
                      <a:picLocks noChangeAspect="1"/>
                    </pic:cNvPicPr>
                  </pic:nvPicPr>
                  <pic:blipFill>
                    <a:blip r:embed="rId20"/>
                    <a:srcRect b="3886"/>
                    <a:stretch>
                      <a:fillRect/>
                    </a:stretch>
                  </pic:blipFill>
                  <pic:spPr>
                    <a:xfrm>
                      <a:off x="0" y="0"/>
                      <a:ext cx="5264150" cy="2528570"/>
                    </a:xfrm>
                    <a:prstGeom prst="rect">
                      <a:avLst/>
                    </a:prstGeom>
                  </pic:spPr>
                </pic:pic>
              </a:graphicData>
            </a:graphic>
          </wp:inline>
        </w:drawing>
      </w:r>
    </w:p>
    <w:p w14:paraId="6EB19D4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0" w:leftChars="0"/>
        <w:jc w:val="both"/>
        <w:textAlignment w:val="auto"/>
        <w:rPr>
          <w:rFonts w:hint="eastAsia" w:ascii="仿宋" w:hAnsi="仿宋" w:eastAsia="仿宋" w:cs="仿宋"/>
          <w:b/>
          <w:bCs/>
          <w:sz w:val="28"/>
          <w:szCs w:val="28"/>
          <w:lang w:val="en-US" w:eastAsia="zh-CN"/>
        </w:rPr>
      </w:pPr>
      <w:r>
        <w:rPr>
          <w:rFonts w:hint="eastAsia" w:ascii="仿宋" w:hAnsi="仿宋" w:eastAsia="仿宋" w:cs="仿宋"/>
          <w:b w:val="0"/>
          <w:bCs w:val="0"/>
          <w:sz w:val="28"/>
          <w:szCs w:val="28"/>
          <w:lang w:val="en-US" w:eastAsia="zh-CN"/>
        </w:rPr>
        <w:t>系统识别机器码后，方可正常上传投标文件。</w:t>
      </w:r>
    </w:p>
    <w:p w14:paraId="23AAFEC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drawing>
          <wp:inline distT="0" distB="0" distL="114300" distR="114300">
            <wp:extent cx="5261610" cy="1604645"/>
            <wp:effectExtent l="0" t="0" r="0" b="0"/>
            <wp:docPr id="13" name="图片 1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
                    <pic:cNvPicPr>
                      <a:picLocks noChangeAspect="1"/>
                    </pic:cNvPicPr>
                  </pic:nvPicPr>
                  <pic:blipFill>
                    <a:blip r:embed="rId21"/>
                    <a:srcRect t="6976" b="32030"/>
                    <a:stretch>
                      <a:fillRect/>
                    </a:stretch>
                  </pic:blipFill>
                  <pic:spPr>
                    <a:xfrm>
                      <a:off x="0" y="0"/>
                      <a:ext cx="5261610" cy="1604645"/>
                    </a:xfrm>
                    <a:prstGeom prst="rect">
                      <a:avLst/>
                    </a:prstGeom>
                  </pic:spPr>
                </pic:pic>
              </a:graphicData>
            </a:graphic>
          </wp:inline>
        </w:drawing>
      </w:r>
    </w:p>
    <w:p w14:paraId="39A40AD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2.6投标保证金缴纳规则</w:t>
      </w:r>
      <w:r>
        <w:rPr>
          <w:rFonts w:hint="eastAsia" w:ascii="仿宋" w:hAnsi="仿宋" w:eastAsia="仿宋" w:cs="仿宋"/>
          <w:b w:val="0"/>
          <w:bCs w:val="0"/>
          <w:sz w:val="28"/>
          <w:szCs w:val="28"/>
          <w:lang w:val="en-US" w:eastAsia="zh-CN"/>
        </w:rPr>
        <w:t>（招标文件要求缴纳保证金的项目）</w:t>
      </w:r>
    </w:p>
    <w:p w14:paraId="7E5892F6">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按照招标文件要求对公转账；</w:t>
      </w:r>
    </w:p>
    <w:p w14:paraId="27F5E759">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投标页面点击缴费，上传缴费凭证。公开竞价采购项目无需上传凭证，系统自动校验缴费情况；</w:t>
      </w:r>
    </w:p>
    <w:p w14:paraId="23316B6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drawing>
          <wp:inline distT="0" distB="0" distL="114300" distR="114300">
            <wp:extent cx="5273040" cy="2174875"/>
            <wp:effectExtent l="0" t="0" r="0" b="0"/>
            <wp:docPr id="18" name="图片 18" descr="3.6保证金缴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3.6保证金缴纳"/>
                    <pic:cNvPicPr>
                      <a:picLocks noChangeAspect="1"/>
                    </pic:cNvPicPr>
                  </pic:nvPicPr>
                  <pic:blipFill>
                    <a:blip r:embed="rId22"/>
                    <a:srcRect b="17251"/>
                    <a:stretch>
                      <a:fillRect/>
                    </a:stretch>
                  </pic:blipFill>
                  <pic:spPr>
                    <a:xfrm>
                      <a:off x="0" y="0"/>
                      <a:ext cx="5273040" cy="2174875"/>
                    </a:xfrm>
                    <a:prstGeom prst="rect">
                      <a:avLst/>
                    </a:prstGeom>
                  </pic:spPr>
                </pic:pic>
              </a:graphicData>
            </a:graphic>
          </wp:inline>
        </w:drawing>
      </w:r>
    </w:p>
    <w:p w14:paraId="3DD9D0D2">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支持e保函替代现金保证金。</w:t>
      </w:r>
    </w:p>
    <w:p w14:paraId="0F4A4D8F">
      <w:pPr>
        <w:pStyle w:val="2"/>
        <w:keepNext/>
        <w:keepLines/>
        <w:pageBreakBefore w:val="0"/>
        <w:widowControl w:val="0"/>
        <w:numPr>
          <w:ilvl w:val="0"/>
          <w:numId w:val="1"/>
        </w:numPr>
        <w:kinsoku/>
        <w:wordWrap/>
        <w:overflowPunct/>
        <w:topLinePunct w:val="0"/>
        <w:autoSpaceDE/>
        <w:autoSpaceDN/>
        <w:bidi w:val="0"/>
        <w:adjustRightInd/>
        <w:snapToGrid/>
        <w:spacing w:before="313" w:beforeLines="100" w:after="313" w:afterLines="100" w:line="360" w:lineRule="auto"/>
        <w:textAlignment w:val="auto"/>
        <w:rPr>
          <w:rFonts w:hint="eastAsia"/>
          <w:b/>
          <w:lang w:val="en-US" w:eastAsia="zh-CN"/>
        </w:rPr>
      </w:pPr>
      <w:bookmarkStart w:id="2" w:name="_Toc3561"/>
      <w:r>
        <w:rPr>
          <w:rFonts w:hint="eastAsia"/>
          <w:b/>
          <w:lang w:val="en-US" w:eastAsia="zh-CN"/>
        </w:rPr>
        <w:t>缴费</w:t>
      </w:r>
      <w:bookmarkEnd w:id="2"/>
    </w:p>
    <w:p w14:paraId="1BD0B05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3.1筑采云招采平台收费（中标服务费）</w:t>
      </w:r>
    </w:p>
    <w:p w14:paraId="6CC2B39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（一）收费标准如下：</w:t>
      </w:r>
    </w:p>
    <w:p w14:paraId="2A02B657">
      <w:pPr>
        <w:pStyle w:val="8"/>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840" w:leftChars="0" w:right="0" w:hanging="420" w:firstLineChars="0"/>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中标金额20万元以下的不收取平台服务费；</w:t>
      </w:r>
    </w:p>
    <w:p w14:paraId="0BEF93FA">
      <w:pPr>
        <w:pStyle w:val="8"/>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840" w:leftChars="0" w:right="0" w:hanging="420" w:firstLineChars="0"/>
        <w:rPr>
          <w:rFonts w:hint="eastAsia"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中标金额在20万元（含）以上，且在100万元以下的，服务费费率为中标金额的万分之八；</w:t>
      </w:r>
    </w:p>
    <w:p w14:paraId="25910BF3">
      <w:pPr>
        <w:pStyle w:val="8"/>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840" w:leftChars="0" w:right="0" w:hanging="420" w:firstLineChars="0"/>
        <w:rPr>
          <w:rFonts w:hint="eastAsia"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中标金额在100万元（含）以上，且在500万元以下的，服务费费率为中标金额的千分之一点六；</w:t>
      </w:r>
    </w:p>
    <w:p w14:paraId="40A841F1">
      <w:pPr>
        <w:pStyle w:val="8"/>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840" w:leftChars="0" w:right="0" w:hanging="420" w:firstLineChars="0"/>
        <w:rPr>
          <w:rFonts w:hint="eastAsia" w:ascii="仿宋" w:hAnsi="仿宋" w:eastAsia="仿宋" w:cs="仿宋"/>
          <w:b/>
          <w:bCs/>
          <w:sz w:val="28"/>
          <w:szCs w:val="28"/>
          <w:lang w:val="en-US" w:eastAsia="zh-CN"/>
        </w:rPr>
      </w:pPr>
      <w:r>
        <w:rPr>
          <w:rFonts w:hint="default" w:ascii="仿宋" w:hAnsi="仿宋" w:eastAsia="仿宋" w:cs="仿宋"/>
          <w:b w:val="0"/>
          <w:bCs w:val="0"/>
          <w:kern w:val="2"/>
          <w:sz w:val="28"/>
          <w:szCs w:val="28"/>
          <w:lang w:val="en-US" w:eastAsia="zh-CN" w:bidi="ar-SA"/>
        </w:rPr>
        <w:t>中标金额在500万元（含）以上，服务费费率为中标金额的千分之二。</w:t>
      </w:r>
    </w:p>
    <w:p w14:paraId="12D6B99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（二）对公转账账户信息：</w:t>
      </w:r>
    </w:p>
    <w:p w14:paraId="59BA08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400"/>
        <w:jc w:val="both"/>
        <w:textAlignment w:val="auto"/>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 xml:space="preserve">户名：浙建云采（龙游）科技有限责任公司 </w:t>
      </w:r>
    </w:p>
    <w:p w14:paraId="1F2340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400"/>
        <w:jc w:val="both"/>
        <w:textAlignment w:val="auto"/>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 xml:space="preserve">账号：331066150013001013834 </w:t>
      </w:r>
    </w:p>
    <w:p w14:paraId="3FC294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400"/>
        <w:jc w:val="both"/>
        <w:textAlignment w:val="auto"/>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 xml:space="preserve">开户行：交通银行杭州秋涛路支行 </w:t>
      </w:r>
    </w:p>
    <w:p w14:paraId="7A5C1B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400"/>
        <w:jc w:val="both"/>
        <w:textAlignment w:val="auto"/>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 xml:space="preserve">联行号：301331000053 </w:t>
      </w:r>
    </w:p>
    <w:p w14:paraId="0A9C10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400"/>
        <w:jc w:val="both"/>
        <w:textAlignment w:val="auto"/>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转账备注：</w:t>
      </w:r>
      <w:r>
        <w:rPr>
          <w:rFonts w:hint="eastAsia" w:ascii="仿宋" w:hAnsi="仿宋" w:eastAsia="仿宋" w:cs="仿宋"/>
          <w:b w:val="0"/>
          <w:bCs w:val="0"/>
          <w:kern w:val="2"/>
          <w:sz w:val="28"/>
          <w:szCs w:val="28"/>
          <w:lang w:val="en-US" w:eastAsia="zh-CN" w:bidi="ar-SA"/>
        </w:rPr>
        <w:t>中标服务</w:t>
      </w:r>
      <w:r>
        <w:rPr>
          <w:rFonts w:hint="default" w:ascii="仿宋" w:hAnsi="仿宋" w:eastAsia="仿宋" w:cs="仿宋"/>
          <w:b w:val="0"/>
          <w:bCs w:val="0"/>
          <w:kern w:val="2"/>
          <w:sz w:val="28"/>
          <w:szCs w:val="28"/>
          <w:lang w:val="en-US" w:eastAsia="zh-CN" w:bidi="ar-SA"/>
        </w:rPr>
        <w:t>费 + 企业全称</w:t>
      </w:r>
    </w:p>
    <w:p w14:paraId="39674392">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转账完成后上传缴费凭证，财务24小时内完成校验。</w:t>
      </w:r>
    </w:p>
    <w:p w14:paraId="21BD132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（三）平台中标服务费缴纳操作流程：</w:t>
      </w:r>
    </w:p>
    <w:p w14:paraId="42EDD331">
      <w:pPr>
        <w:pStyle w:val="8"/>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0" w:leftChars="0" w:right="0" w:rightChars="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中标后工作台弹出【待缴费】通知；</w:t>
      </w:r>
    </w:p>
    <w:p w14:paraId="56C425F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drawing>
          <wp:inline distT="0" distB="0" distL="114300" distR="114300">
            <wp:extent cx="5266690" cy="1805305"/>
            <wp:effectExtent l="0" t="0" r="10160" b="4445"/>
            <wp:docPr id="23" name="图片 23" descr="4.1服务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4.1服务费"/>
                    <pic:cNvPicPr>
                      <a:picLocks noChangeAspect="1"/>
                    </pic:cNvPicPr>
                  </pic:nvPicPr>
                  <pic:blipFill>
                    <a:blip r:embed="rId23"/>
                    <a:stretch>
                      <a:fillRect/>
                    </a:stretch>
                  </pic:blipFill>
                  <pic:spPr>
                    <a:xfrm>
                      <a:off x="0" y="0"/>
                      <a:ext cx="5266690" cy="1805305"/>
                    </a:xfrm>
                    <a:prstGeom prst="rect">
                      <a:avLst/>
                    </a:prstGeom>
                  </pic:spPr>
                </pic:pic>
              </a:graphicData>
            </a:graphic>
          </wp:inline>
        </w:drawing>
      </w:r>
    </w:p>
    <w:p w14:paraId="1F261541">
      <w:pPr>
        <w:pStyle w:val="8"/>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0" w:leftChars="0" w:right="0" w:rightChars="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选择线下对公转账，备注：服务费+企业全称；</w:t>
      </w:r>
    </w:p>
    <w:p w14:paraId="0E2BACD2">
      <w:pPr>
        <w:pStyle w:val="8"/>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0" w:leftChars="0" w:right="0" w:rightChars="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上传缴费凭证，逾期未缴费视为自动放弃中标资格。</w:t>
      </w:r>
    </w:p>
    <w:p w14:paraId="3CEA1F49">
      <w:pPr>
        <w:pStyle w:val="8"/>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textAlignment w:val="auto"/>
        <w:rPr>
          <w:rFonts w:hint="default" w:ascii="仿宋" w:hAnsi="仿宋" w:eastAsia="仿宋" w:cs="仿宋"/>
          <w:b w:val="0"/>
          <w:bCs w:val="0"/>
          <w:kern w:val="2"/>
          <w:sz w:val="28"/>
          <w:szCs w:val="28"/>
          <w:lang w:val="en-US" w:eastAsia="zh-CN" w:bidi="ar-SA"/>
        </w:rPr>
      </w:pPr>
    </w:p>
    <w:p w14:paraId="3D0C9C5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3.2保证金缴费</w:t>
      </w:r>
    </w:p>
    <w:p w14:paraId="0AB2F138">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现金缴纳：对公转账后，在投标页面上传缴费凭证核验；</w:t>
      </w:r>
    </w:p>
    <w:p w14:paraId="061C413C">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jc w:val="both"/>
        <w:textAlignment w:val="auto"/>
        <w:rPr>
          <w:rFonts w:hint="default" w:ascii="仿宋" w:hAnsi="仿宋" w:eastAsia="仿宋" w:cs="仿宋"/>
          <w:b/>
          <w:bCs/>
          <w:sz w:val="28"/>
          <w:szCs w:val="28"/>
          <w:lang w:val="en-US" w:eastAsia="zh-CN"/>
        </w:rPr>
      </w:pPr>
      <w:r>
        <w:rPr>
          <w:rFonts w:hint="eastAsia" w:ascii="仿宋" w:hAnsi="仿宋" w:eastAsia="仿宋" w:cs="仿宋"/>
          <w:b w:val="0"/>
          <w:bCs w:val="0"/>
          <w:sz w:val="28"/>
          <w:szCs w:val="28"/>
          <w:lang w:val="en-US" w:eastAsia="zh-CN"/>
        </w:rPr>
        <w:t>e保函替代：线上办理电子保函，直接抵充现金保证金。</w:t>
      </w:r>
    </w:p>
    <w:p w14:paraId="6EA72BC5">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b/>
          <w:bCs/>
          <w:sz w:val="28"/>
          <w:szCs w:val="28"/>
          <w:lang w:val="en-US" w:eastAsia="zh-CN"/>
        </w:rPr>
      </w:pPr>
      <w:bookmarkStart w:id="4" w:name="_GoBack"/>
      <w:bookmarkEnd w:id="4"/>
    </w:p>
    <w:p w14:paraId="436D3CC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3.3 e保函</w:t>
      </w:r>
    </w:p>
    <w:p w14:paraId="5FDA5B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1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3.3.1 e保函申请入口</w:t>
      </w:r>
    </w:p>
    <w:p w14:paraId="1A68A9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1.工作台首页e保函轮播广告</w:t>
      </w:r>
    </w:p>
    <w:p w14:paraId="3A66DE7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28"/>
          <w:szCs w:val="28"/>
          <w:lang w:val="en-US" w:eastAsia="zh-CN"/>
        </w:rPr>
      </w:pPr>
    </w:p>
    <w:p w14:paraId="721B314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28"/>
          <w:szCs w:val="28"/>
          <w:lang w:val="en-US" w:eastAsia="zh-CN"/>
        </w:rPr>
      </w:pPr>
      <w:r>
        <w:drawing>
          <wp:inline distT="0" distB="0" distL="114300" distR="114300">
            <wp:extent cx="5266690" cy="2499360"/>
            <wp:effectExtent l="0" t="0" r="10160" b="1524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24"/>
                    <a:stretch>
                      <a:fillRect/>
                    </a:stretch>
                  </pic:blipFill>
                  <pic:spPr>
                    <a:xfrm>
                      <a:off x="0" y="0"/>
                      <a:ext cx="5266690" cy="2499360"/>
                    </a:xfrm>
                    <a:prstGeom prst="rect">
                      <a:avLst/>
                    </a:prstGeom>
                    <a:noFill/>
                    <a:ln>
                      <a:noFill/>
                    </a:ln>
                  </pic:spPr>
                </pic:pic>
              </a:graphicData>
            </a:graphic>
          </wp:inline>
        </w:drawing>
      </w:r>
    </w:p>
    <w:p w14:paraId="3B4318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100" w:firstLine="560" w:firstLineChars="20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具体操作可联系0571-87198985进行了解。</w:t>
      </w:r>
    </w:p>
    <w:p w14:paraId="492D88C5">
      <w:pPr>
        <w:pStyle w:val="2"/>
        <w:keepNext/>
        <w:keepLines/>
        <w:pageBreakBefore w:val="0"/>
        <w:widowControl w:val="0"/>
        <w:numPr>
          <w:ilvl w:val="0"/>
          <w:numId w:val="1"/>
        </w:numPr>
        <w:kinsoku/>
        <w:wordWrap/>
        <w:overflowPunct/>
        <w:topLinePunct w:val="0"/>
        <w:autoSpaceDE/>
        <w:autoSpaceDN/>
        <w:bidi w:val="0"/>
        <w:adjustRightInd/>
        <w:snapToGrid/>
        <w:spacing w:before="313" w:beforeLines="100" w:after="313" w:afterLines="100" w:line="360" w:lineRule="auto"/>
        <w:textAlignment w:val="auto"/>
        <w:rPr>
          <w:rFonts w:hint="default"/>
          <w:b/>
          <w:lang w:val="en-US" w:eastAsia="zh-CN"/>
        </w:rPr>
      </w:pPr>
      <w:bookmarkStart w:id="3" w:name="_Toc5198"/>
      <w:r>
        <w:rPr>
          <w:rFonts w:hint="eastAsia"/>
          <w:b/>
          <w:lang w:val="en-US" w:eastAsia="zh-CN"/>
        </w:rPr>
        <w:t>发票</w:t>
      </w:r>
      <w:bookmarkEnd w:id="3"/>
    </w:p>
    <w:p w14:paraId="71DB78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100"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下拉首页-点击开票申请/企业 中心-缴费管理-缴费台账-缴费记录-申请开票。</w:t>
      </w:r>
    </w:p>
    <w:p w14:paraId="6E5FF50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pPr>
      <w:r>
        <w:drawing>
          <wp:inline distT="0" distB="0" distL="114300" distR="114300">
            <wp:extent cx="5269865" cy="3213735"/>
            <wp:effectExtent l="0" t="0" r="6985" b="5715"/>
            <wp:docPr id="5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2"/>
                    <pic:cNvPicPr>
                      <a:picLocks noChangeAspect="1"/>
                    </pic:cNvPicPr>
                  </pic:nvPicPr>
                  <pic:blipFill>
                    <a:blip r:embed="rId25"/>
                    <a:stretch>
                      <a:fillRect/>
                    </a:stretch>
                  </pic:blipFill>
                  <pic:spPr>
                    <a:xfrm>
                      <a:off x="0" y="0"/>
                      <a:ext cx="5269865" cy="3213735"/>
                    </a:xfrm>
                    <a:prstGeom prst="rect">
                      <a:avLst/>
                    </a:prstGeom>
                    <a:noFill/>
                    <a:ln>
                      <a:noFill/>
                    </a:ln>
                  </pic:spPr>
                </pic:pic>
              </a:graphicData>
            </a:graphic>
          </wp:inline>
        </w:drawing>
      </w:r>
    </w:p>
    <w:p w14:paraId="30F406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pPr>
    </w:p>
    <w:p w14:paraId="5EF0F90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pPr>
    </w:p>
    <w:p w14:paraId="002F112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28"/>
          <w:szCs w:val="28"/>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ECC47">
    <w:pPr>
      <w:pStyle w:val="4"/>
      <w:spacing w:line="184" w:lineRule="auto"/>
      <w:ind w:left="4137"/>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95A15">
    <w:pPr>
      <w:pStyle w:val="4"/>
      <w:spacing w:line="184" w:lineRule="auto"/>
      <w:ind w:left="4137"/>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A7DB8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1A7DB8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C48395"/>
    <w:multiLevelType w:val="singleLevel"/>
    <w:tmpl w:val="ADC48395"/>
    <w:lvl w:ilvl="0" w:tentative="0">
      <w:start w:val="1"/>
      <w:numFmt w:val="decimal"/>
      <w:lvlText w:val="%1."/>
      <w:lvlJc w:val="left"/>
      <w:pPr>
        <w:tabs>
          <w:tab w:val="left" w:pos="732"/>
        </w:tabs>
        <w:ind w:left="420"/>
      </w:pPr>
    </w:lvl>
  </w:abstractNum>
  <w:abstractNum w:abstractNumId="1">
    <w:nsid w:val="EAA1CE98"/>
    <w:multiLevelType w:val="singleLevel"/>
    <w:tmpl w:val="EAA1CE98"/>
    <w:lvl w:ilvl="0" w:tentative="0">
      <w:start w:val="1"/>
      <w:numFmt w:val="decimal"/>
      <w:lvlText w:val="%1."/>
      <w:lvlJc w:val="left"/>
      <w:pPr>
        <w:tabs>
          <w:tab w:val="left" w:pos="312"/>
        </w:tabs>
        <w:ind w:left="0"/>
      </w:pPr>
    </w:lvl>
  </w:abstractNum>
  <w:abstractNum w:abstractNumId="2">
    <w:nsid w:val="00D9608F"/>
    <w:multiLevelType w:val="singleLevel"/>
    <w:tmpl w:val="00D9608F"/>
    <w:lvl w:ilvl="0" w:tentative="0">
      <w:start w:val="1"/>
      <w:numFmt w:val="decimal"/>
      <w:lvlText w:val="%1."/>
      <w:lvlJc w:val="left"/>
      <w:pPr>
        <w:tabs>
          <w:tab w:val="left" w:pos="732"/>
        </w:tabs>
        <w:ind w:left="420"/>
      </w:pPr>
    </w:lvl>
  </w:abstractNum>
  <w:abstractNum w:abstractNumId="3">
    <w:nsid w:val="0B9687CF"/>
    <w:multiLevelType w:val="singleLevel"/>
    <w:tmpl w:val="0B9687CF"/>
    <w:lvl w:ilvl="0" w:tentative="0">
      <w:start w:val="1"/>
      <w:numFmt w:val="decimal"/>
      <w:lvlText w:val="%1."/>
      <w:lvlJc w:val="left"/>
      <w:pPr>
        <w:tabs>
          <w:tab w:val="left" w:pos="732"/>
        </w:tabs>
        <w:ind w:left="420"/>
      </w:pPr>
    </w:lvl>
  </w:abstractNum>
  <w:abstractNum w:abstractNumId="4">
    <w:nsid w:val="0D43332A"/>
    <w:multiLevelType w:val="singleLevel"/>
    <w:tmpl w:val="0D43332A"/>
    <w:lvl w:ilvl="0" w:tentative="0">
      <w:start w:val="1"/>
      <w:numFmt w:val="decimal"/>
      <w:lvlText w:val="%1."/>
      <w:lvlJc w:val="left"/>
      <w:pPr>
        <w:tabs>
          <w:tab w:val="left" w:pos="732"/>
        </w:tabs>
        <w:ind w:left="420"/>
      </w:pPr>
    </w:lvl>
  </w:abstractNum>
  <w:abstractNum w:abstractNumId="5">
    <w:nsid w:val="3389270B"/>
    <w:multiLevelType w:val="singleLevel"/>
    <w:tmpl w:val="3389270B"/>
    <w:lvl w:ilvl="0" w:tentative="0">
      <w:start w:val="1"/>
      <w:numFmt w:val="bullet"/>
      <w:lvlText w:val=""/>
      <w:lvlJc w:val="left"/>
      <w:pPr>
        <w:tabs>
          <w:tab w:val="left" w:pos="420"/>
        </w:tabs>
        <w:ind w:left="840" w:hanging="420"/>
      </w:pPr>
      <w:rPr>
        <w:rFonts w:hint="default" w:ascii="Wingdings" w:hAnsi="Wingdings"/>
      </w:rPr>
    </w:lvl>
  </w:abstractNum>
  <w:abstractNum w:abstractNumId="6">
    <w:nsid w:val="4DE0E3E9"/>
    <w:multiLevelType w:val="singleLevel"/>
    <w:tmpl w:val="4DE0E3E9"/>
    <w:lvl w:ilvl="0" w:tentative="0">
      <w:start w:val="1"/>
      <w:numFmt w:val="chineseCounting"/>
      <w:suff w:val="nothing"/>
      <w:lvlText w:val="%1、"/>
      <w:lvlJc w:val="left"/>
      <w:rPr>
        <w:rFonts w:hint="eastAsia"/>
      </w:rPr>
    </w:lvl>
  </w:abstractNum>
  <w:abstractNum w:abstractNumId="7">
    <w:nsid w:val="58C8707F"/>
    <w:multiLevelType w:val="singleLevel"/>
    <w:tmpl w:val="58C8707F"/>
    <w:lvl w:ilvl="0" w:tentative="0">
      <w:start w:val="1"/>
      <w:numFmt w:val="decimal"/>
      <w:lvlText w:val="%1."/>
      <w:lvlJc w:val="left"/>
      <w:pPr>
        <w:tabs>
          <w:tab w:val="left" w:pos="732"/>
        </w:tabs>
        <w:ind w:left="420"/>
      </w:pPr>
    </w:lvl>
  </w:abstractNum>
  <w:num w:numId="1">
    <w:abstractNumId w:val="6"/>
  </w:num>
  <w:num w:numId="2">
    <w:abstractNumId w:val="1"/>
  </w:num>
  <w:num w:numId="3">
    <w:abstractNumId w:val="3"/>
  </w:num>
  <w:num w:numId="4">
    <w:abstractNumId w:val="7"/>
  </w:num>
  <w:num w:numId="5">
    <w:abstractNumId w:val="2"/>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FF3F14"/>
    <w:rsid w:val="00BE5F0E"/>
    <w:rsid w:val="0132783D"/>
    <w:rsid w:val="014C6B51"/>
    <w:rsid w:val="024D04E1"/>
    <w:rsid w:val="02C2261A"/>
    <w:rsid w:val="037F3D9D"/>
    <w:rsid w:val="03C76963"/>
    <w:rsid w:val="04461F7D"/>
    <w:rsid w:val="051536FE"/>
    <w:rsid w:val="051C2CDE"/>
    <w:rsid w:val="060F2843"/>
    <w:rsid w:val="064F49ED"/>
    <w:rsid w:val="0684523E"/>
    <w:rsid w:val="06D33870"/>
    <w:rsid w:val="080F6B2A"/>
    <w:rsid w:val="096D1D5A"/>
    <w:rsid w:val="09DE788B"/>
    <w:rsid w:val="0AAC0660"/>
    <w:rsid w:val="0AD876A7"/>
    <w:rsid w:val="0B1526A9"/>
    <w:rsid w:val="0B216B64"/>
    <w:rsid w:val="0CBB2DDD"/>
    <w:rsid w:val="0DBF5665"/>
    <w:rsid w:val="0E1D7271"/>
    <w:rsid w:val="0FEF4164"/>
    <w:rsid w:val="11E76422"/>
    <w:rsid w:val="125910CE"/>
    <w:rsid w:val="1329427D"/>
    <w:rsid w:val="139C352F"/>
    <w:rsid w:val="13F647D2"/>
    <w:rsid w:val="140E413A"/>
    <w:rsid w:val="1481490C"/>
    <w:rsid w:val="14861F22"/>
    <w:rsid w:val="15282FD9"/>
    <w:rsid w:val="15453B8B"/>
    <w:rsid w:val="159B19FD"/>
    <w:rsid w:val="159D39C7"/>
    <w:rsid w:val="15AB60E4"/>
    <w:rsid w:val="168B3820"/>
    <w:rsid w:val="16EB2510"/>
    <w:rsid w:val="171F08BB"/>
    <w:rsid w:val="175575F1"/>
    <w:rsid w:val="17822E75"/>
    <w:rsid w:val="187A1D7F"/>
    <w:rsid w:val="19145D4E"/>
    <w:rsid w:val="193542BF"/>
    <w:rsid w:val="19597C05"/>
    <w:rsid w:val="197762DD"/>
    <w:rsid w:val="1AB43874"/>
    <w:rsid w:val="1ADF05DE"/>
    <w:rsid w:val="1AE45BF4"/>
    <w:rsid w:val="1B302BE8"/>
    <w:rsid w:val="1BE964F4"/>
    <w:rsid w:val="1CA67605"/>
    <w:rsid w:val="1D7019C1"/>
    <w:rsid w:val="1D781E61"/>
    <w:rsid w:val="1D8D2573"/>
    <w:rsid w:val="1E0303F3"/>
    <w:rsid w:val="1F58270D"/>
    <w:rsid w:val="20216FA3"/>
    <w:rsid w:val="211D59BC"/>
    <w:rsid w:val="21701F90"/>
    <w:rsid w:val="21B856E5"/>
    <w:rsid w:val="21BF0821"/>
    <w:rsid w:val="229B1C26"/>
    <w:rsid w:val="23621DAC"/>
    <w:rsid w:val="2423778D"/>
    <w:rsid w:val="24286B52"/>
    <w:rsid w:val="25302162"/>
    <w:rsid w:val="25CB3C39"/>
    <w:rsid w:val="25FF3F14"/>
    <w:rsid w:val="27A24E6D"/>
    <w:rsid w:val="28186EDD"/>
    <w:rsid w:val="282B6C11"/>
    <w:rsid w:val="2A2102CB"/>
    <w:rsid w:val="2A2E4796"/>
    <w:rsid w:val="2A7F4FF2"/>
    <w:rsid w:val="2C532BDA"/>
    <w:rsid w:val="2CED6B8B"/>
    <w:rsid w:val="2DCE2518"/>
    <w:rsid w:val="2F917EEC"/>
    <w:rsid w:val="316513E5"/>
    <w:rsid w:val="317F484D"/>
    <w:rsid w:val="32CC2B04"/>
    <w:rsid w:val="335D1FE1"/>
    <w:rsid w:val="33983AC4"/>
    <w:rsid w:val="3417273F"/>
    <w:rsid w:val="34DD1293"/>
    <w:rsid w:val="35270760"/>
    <w:rsid w:val="3550415A"/>
    <w:rsid w:val="35D706C5"/>
    <w:rsid w:val="361B6516"/>
    <w:rsid w:val="36F823B4"/>
    <w:rsid w:val="376712E7"/>
    <w:rsid w:val="379F6CD3"/>
    <w:rsid w:val="38683569"/>
    <w:rsid w:val="39137979"/>
    <w:rsid w:val="3C5A58BF"/>
    <w:rsid w:val="3C7F0E81"/>
    <w:rsid w:val="3D4F6AA6"/>
    <w:rsid w:val="3E165E8E"/>
    <w:rsid w:val="3E9C21BE"/>
    <w:rsid w:val="3ECC2AA4"/>
    <w:rsid w:val="3F19380F"/>
    <w:rsid w:val="3FAA4467"/>
    <w:rsid w:val="41AF2209"/>
    <w:rsid w:val="41DD0B24"/>
    <w:rsid w:val="42164036"/>
    <w:rsid w:val="422624CB"/>
    <w:rsid w:val="425012F6"/>
    <w:rsid w:val="43FB1735"/>
    <w:rsid w:val="462A4554"/>
    <w:rsid w:val="47404560"/>
    <w:rsid w:val="475A2C17"/>
    <w:rsid w:val="477912EF"/>
    <w:rsid w:val="48286871"/>
    <w:rsid w:val="484A61BF"/>
    <w:rsid w:val="49A85EBB"/>
    <w:rsid w:val="49EA0BB5"/>
    <w:rsid w:val="4A314103"/>
    <w:rsid w:val="4B007631"/>
    <w:rsid w:val="4B7666AB"/>
    <w:rsid w:val="4BA036EB"/>
    <w:rsid w:val="4C7402D7"/>
    <w:rsid w:val="4C87000A"/>
    <w:rsid w:val="4CDF1BF4"/>
    <w:rsid w:val="4E3715BC"/>
    <w:rsid w:val="4E9C3B15"/>
    <w:rsid w:val="4FE85264"/>
    <w:rsid w:val="502E016D"/>
    <w:rsid w:val="52B753C1"/>
    <w:rsid w:val="538232D9"/>
    <w:rsid w:val="53D8739D"/>
    <w:rsid w:val="53DA3115"/>
    <w:rsid w:val="54703A7A"/>
    <w:rsid w:val="55AE6607"/>
    <w:rsid w:val="55C0458D"/>
    <w:rsid w:val="5613290E"/>
    <w:rsid w:val="57087F99"/>
    <w:rsid w:val="5765719A"/>
    <w:rsid w:val="581110D0"/>
    <w:rsid w:val="588C69A8"/>
    <w:rsid w:val="59682F71"/>
    <w:rsid w:val="5A955FE8"/>
    <w:rsid w:val="5C0D7E00"/>
    <w:rsid w:val="5C127A5F"/>
    <w:rsid w:val="5D681792"/>
    <w:rsid w:val="5D900CE9"/>
    <w:rsid w:val="5D997B9D"/>
    <w:rsid w:val="5DDE1A54"/>
    <w:rsid w:val="5E1F00F0"/>
    <w:rsid w:val="5E3B2A02"/>
    <w:rsid w:val="5E3E3A04"/>
    <w:rsid w:val="5E9F5041"/>
    <w:rsid w:val="5EBF3633"/>
    <w:rsid w:val="5F7408C2"/>
    <w:rsid w:val="611C2FBF"/>
    <w:rsid w:val="613F6CAD"/>
    <w:rsid w:val="615B24F3"/>
    <w:rsid w:val="61750921"/>
    <w:rsid w:val="617D1584"/>
    <w:rsid w:val="61C3168D"/>
    <w:rsid w:val="62145A44"/>
    <w:rsid w:val="624B3430"/>
    <w:rsid w:val="626D15F8"/>
    <w:rsid w:val="62E33669"/>
    <w:rsid w:val="639F1C85"/>
    <w:rsid w:val="63F20838"/>
    <w:rsid w:val="641206A9"/>
    <w:rsid w:val="64B259E8"/>
    <w:rsid w:val="64F04C2F"/>
    <w:rsid w:val="655A669E"/>
    <w:rsid w:val="65A76BCF"/>
    <w:rsid w:val="66342B59"/>
    <w:rsid w:val="66C92C77"/>
    <w:rsid w:val="685748DD"/>
    <w:rsid w:val="68E51EE8"/>
    <w:rsid w:val="6A301889"/>
    <w:rsid w:val="6A617C95"/>
    <w:rsid w:val="6A9A6D03"/>
    <w:rsid w:val="6ABA73A5"/>
    <w:rsid w:val="6B1E16E2"/>
    <w:rsid w:val="6B3233DF"/>
    <w:rsid w:val="6CA36E93"/>
    <w:rsid w:val="6CB27C7E"/>
    <w:rsid w:val="6D943EDD"/>
    <w:rsid w:val="6DFB3F5C"/>
    <w:rsid w:val="6E7513C4"/>
    <w:rsid w:val="6EF72976"/>
    <w:rsid w:val="6EFA2466"/>
    <w:rsid w:val="6F8561D3"/>
    <w:rsid w:val="6FA81EC2"/>
    <w:rsid w:val="6FB42615"/>
    <w:rsid w:val="715C7408"/>
    <w:rsid w:val="728409C4"/>
    <w:rsid w:val="72D52FCE"/>
    <w:rsid w:val="7399224D"/>
    <w:rsid w:val="74643000"/>
    <w:rsid w:val="74686940"/>
    <w:rsid w:val="747F4D11"/>
    <w:rsid w:val="74C72DEA"/>
    <w:rsid w:val="754D7793"/>
    <w:rsid w:val="75A1363B"/>
    <w:rsid w:val="7682521B"/>
    <w:rsid w:val="77112A42"/>
    <w:rsid w:val="772D7A86"/>
    <w:rsid w:val="77976AA4"/>
    <w:rsid w:val="77C90C27"/>
    <w:rsid w:val="77D45F4A"/>
    <w:rsid w:val="78414C61"/>
    <w:rsid w:val="78FA2B04"/>
    <w:rsid w:val="794964C4"/>
    <w:rsid w:val="79E26053"/>
    <w:rsid w:val="7AA17C39"/>
    <w:rsid w:val="7B0A1C83"/>
    <w:rsid w:val="7B130B37"/>
    <w:rsid w:val="7B474C85"/>
    <w:rsid w:val="7C5F7DAC"/>
    <w:rsid w:val="7DB83C18"/>
    <w:rsid w:val="7E2766A8"/>
    <w:rsid w:val="7F3929CB"/>
    <w:rsid w:val="7F6E0A32"/>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微软雅黑" w:asciiTheme="minorAscii" w:hAnsiTheme="minorAscii"/>
      <w:b/>
      <w:kern w:val="44"/>
      <w:sz w:val="36"/>
    </w:rPr>
  </w:style>
  <w:style w:type="paragraph" w:styleId="3">
    <w:name w:val="heading 2"/>
    <w:basedOn w:val="1"/>
    <w:next w:val="1"/>
    <w:link w:val="12"/>
    <w:semiHidden/>
    <w:unhideWhenUsed/>
    <w:qFormat/>
    <w:uiPriority w:val="0"/>
    <w:pPr>
      <w:keepNext/>
      <w:keepLines/>
      <w:spacing w:before="160" w:after="80"/>
      <w:outlineLvl w:val="1"/>
    </w:pPr>
    <w:rPr>
      <w:rFonts w:eastAsia="黑体" w:asciiTheme="majorAscii" w:hAnsiTheme="majorAscii" w:cstheme="majorBidi"/>
      <w:b/>
      <w:color w:val="2E54A1" w:themeColor="accent1" w:themeShade="BF"/>
      <w:sz w:val="32"/>
      <w:szCs w:val="40"/>
    </w:rPr>
  </w:style>
  <w:style w:type="character" w:default="1" w:styleId="10">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uiPriority w:val="0"/>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customStyle="1" w:styleId="12">
    <w:name w:val="标题 2 字符"/>
    <w:basedOn w:val="10"/>
    <w:link w:val="3"/>
    <w:semiHidden/>
    <w:qFormat/>
    <w:uiPriority w:val="9"/>
    <w:rPr>
      <w:rFonts w:eastAsia="黑体" w:asciiTheme="majorAscii" w:hAnsiTheme="majorAscii" w:cstheme="majorBidi"/>
      <w:b/>
      <w:color w:val="2E54A1" w:themeColor="accent1" w:themeShade="BF"/>
      <w:sz w:val="32"/>
      <w:szCs w:val="4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2615</Words>
  <Characters>2815</Characters>
  <Lines>0</Lines>
  <Paragraphs>0</Paragraphs>
  <TotalTime>6</TotalTime>
  <ScaleCrop>false</ScaleCrop>
  <LinksUpToDate>false</LinksUpToDate>
  <CharactersWithSpaces>2866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2026-07-21T08:57:00Z</dcterms:created>
  <dc:creator>了然JPM</dc:creator>
  <cp:lastModifiedBy>了然JPM</cp:lastModifiedBy>
  <dcterms:modified xsi:type="dcterms:W3CDTF">2026-07-27T08:48:39Z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EA8E86856C6040F4A0A83B1E48A97C08_11</vt:lpwstr>
  </property>
  <property fmtid="{D5CDD505-2E9C-101B-9397-08002B2CF9AE}" pid="4" name="KSOTemplateDocerSaveRecord">
    <vt:lpwstr>eyJoZGlkIjoiM2I2MWU4OWViMjJmNDk5MmE1ZGY0NTczNTE0NzU3ZTEiLCJ1c2VySWQiOiI0MDYyNTIwMTEifQ==</vt:lpwstr>
  </property>
</Properties>
</file>